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5671185</wp:posOffset>
                </wp:positionH>
                <wp:positionV relativeFrom="paragraph">
                  <wp:posOffset>-147955</wp:posOffset>
                </wp:positionV>
                <wp:extent cx="952500" cy="37655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52500" cy="3765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</w:t>
      </w:r>
      <w:r>
        <w:rPr>
          <w:rFonts w:ascii="Times New Roman" w:hAnsi="Times New Roman"/>
          <w:b w:val="1"/>
          <w:sz w:val="28"/>
        </w:rPr>
        <w:t>ОБЛАСТЬ  НЕКЛИНОВСКИЙ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6000000">
      <w:pPr>
        <w:spacing w:after="0"/>
        <w:ind w:firstLine="142" w:left="-426"/>
        <w:contextualSpacing w:val="1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19.04.2024г № 28</w:t>
      </w: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2024 год</w:t>
      </w:r>
    </w:p>
    <w:p w14:paraId="1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3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к распоряжению Администрации Троицкого сельского поселения от 26.12.2023г № 155 «Об утверждении плана 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2024г», </w:t>
      </w:r>
      <w:r>
        <w:rPr>
          <w:rFonts w:ascii="Times New Roman" w:hAnsi="Times New Roman"/>
          <w:sz w:val="28"/>
        </w:rPr>
        <w:t xml:space="preserve"> изменения </w:t>
      </w:r>
      <w:r>
        <w:rPr>
          <w:rFonts w:ascii="Times New Roman" w:hAnsi="Times New Roman"/>
          <w:sz w:val="28"/>
        </w:rPr>
        <w:t>согласно приложению к настоящему распоряжению.</w:t>
      </w:r>
    </w:p>
    <w:p w14:paraId="15000000">
      <w:pPr>
        <w:spacing w:after="0"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вступает в силу с момента его подписания.</w:t>
      </w:r>
    </w:p>
    <w:p w14:paraId="16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распоряжения оставляю за собой.</w:t>
      </w:r>
    </w:p>
    <w:p w14:paraId="17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</w:p>
    <w:p w14:paraId="1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B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3"/>
        <w:tblLayout w:type="fixed"/>
      </w:tblPr>
      <w:tblGrid>
        <w:gridCol w:w="15807"/>
      </w:tblGrid>
      <w:tr>
        <w:trPr>
          <w:trHeight w:hRule="atLeast" w:val="315"/>
        </w:trPr>
        <w:tc>
          <w:tcPr>
            <w:tcW w:type="dxa" w:w="15807"/>
            <w:shd w:themeFill="background1" w:val="clear"/>
          </w:tcPr>
          <w:p w14:paraId="1C000000">
            <w:pPr>
              <w:spacing w:line="216" w:lineRule="auto"/>
              <w:ind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Style w:val="Style_3"/>
              <w:tblLayout w:type="fixed"/>
            </w:tblPr>
            <w:tblGrid>
              <w:gridCol w:w="15679"/>
            </w:tblGrid>
            <w:tr>
              <w:trPr>
                <w:trHeight w:hRule="atLeast" w:val="259"/>
              </w:trPr>
              <w:tc>
                <w:tcPr>
                  <w:tcW w:type="dxa" w:w="15679"/>
                </w:tcPr>
                <w:p w14:paraId="1D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Приложение распоряжению Администрации </w:t>
                  </w:r>
                </w:p>
                <w:p w14:paraId="1E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1F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  19.04.2024г №  </w:t>
                  </w:r>
                  <w:r>
                    <w:rPr>
                      <w:rFonts w:ascii="Times New Roman" w:hAnsi="Times New Roman"/>
                    </w:rPr>
                    <w:t>28</w:t>
                  </w:r>
                </w:p>
                <w:p w14:paraId="20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</w:p>
                <w:p w14:paraId="21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«Приложение </w:t>
                  </w:r>
                </w:p>
                <w:p w14:paraId="22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распоряжению Администрации </w:t>
                  </w:r>
                </w:p>
                <w:p w14:paraId="23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24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26.12.2023г №  155</w:t>
                  </w:r>
                </w:p>
              </w:tc>
            </w:tr>
          </w:tbl>
          <w:p w14:paraId="25000000">
            <w:pPr>
              <w:pStyle w:val="Style_4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t>План реализации муниципальной программы Троицкого сельского поселения</w:t>
            </w:r>
          </w:p>
          <w:p w14:paraId="26000000">
            <w:pPr>
              <w:pStyle w:val="Style_4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 </w:t>
            </w:r>
            <w:r>
              <w:rPr>
                <w:b w:val="1"/>
              </w:rPr>
              <w:t>на  2024</w:t>
            </w:r>
            <w:r>
              <w:rPr>
                <w:b w:val="1"/>
              </w:rPr>
              <w:t xml:space="preserve"> год.</w:t>
            </w:r>
          </w:p>
          <w:p w14:paraId="27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8000000">
      <w:pPr>
        <w:pStyle w:val="Style_4"/>
        <w:rPr>
          <w:b w:val="1"/>
        </w:rPr>
      </w:pPr>
    </w:p>
    <w:tbl>
      <w:tblPr>
        <w:tblStyle w:val="Style_5"/>
        <w:tblLayout w:type="fixed"/>
      </w:tblPr>
      <w:tblGrid>
        <w:gridCol w:w="3388"/>
        <w:gridCol w:w="2405"/>
        <w:gridCol w:w="3552"/>
        <w:gridCol w:w="1417"/>
        <w:gridCol w:w="938"/>
        <w:gridCol w:w="1189"/>
        <w:gridCol w:w="1152"/>
        <w:gridCol w:w="1805"/>
      </w:tblGrid>
      <w:tr>
        <w:tc>
          <w:tcPr>
            <w:tcW w:type="dxa" w:w="3388"/>
            <w:vMerge w:val="restart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2405"/>
            <w:vMerge w:val="restart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3552"/>
            <w:vMerge w:val="restart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5084"/>
            <w:gridSpan w:val="4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на 2024год </w:t>
            </w:r>
          </w:p>
        </w:tc>
      </w:tr>
      <w:tr>
        <w:tc>
          <w:tcPr>
            <w:tcW w:type="dxa" w:w="3388"/>
            <w:gridSpan w:val="1"/>
            <w:vMerge w:val="continue"/>
            <w:vAlign w:val="center"/>
          </w:tcPr>
          <w:p/>
        </w:tc>
        <w:tc>
          <w:tcPr>
            <w:tcW w:type="dxa" w:w="2405"/>
            <w:gridSpan w:val="1"/>
            <w:vMerge w:val="continue"/>
            <w:vAlign w:val="center"/>
          </w:tcPr>
          <w:p/>
        </w:tc>
        <w:tc>
          <w:tcPr>
            <w:tcW w:type="dxa" w:w="3552"/>
            <w:gridSpan w:val="1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938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189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52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805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388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405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52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938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189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52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805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388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6783,6</w:t>
            </w:r>
          </w:p>
        </w:tc>
        <w:tc>
          <w:tcPr>
            <w:tcW w:type="dxa" w:w="1189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6783,6</w:t>
            </w:r>
          </w:p>
        </w:tc>
        <w:tc>
          <w:tcPr>
            <w:tcW w:type="dxa" w:w="1805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</w:tcPr>
          <w:p w14:paraId="4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обеспечения качественными коммунальными услугами населения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189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805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  <w:vAlign w:val="center"/>
          </w:tcPr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4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</w:rPr>
              <w:t>с.Троицкое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Нелиновского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14:paraId="4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</w:p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type="dxa" w:w="1417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89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805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90"/>
        </w:trPr>
        <w:tc>
          <w:tcPr>
            <w:tcW w:type="dxa" w:w="3388"/>
            <w:vAlign w:val="center"/>
          </w:tcPr>
          <w:p w14:paraId="56000000">
            <w:pPr>
              <w:pStyle w:val="Style_6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</w:t>
            </w:r>
            <w:r>
              <w:rPr>
                <w:rFonts w:ascii="Times New Roman" w:hAnsi="Times New Roman"/>
                <w:sz w:val="24"/>
              </w:rPr>
              <w:t>и газоснабжения поселений в пределах полномочий</w:t>
            </w:r>
          </w:p>
          <w:p w14:paraId="5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поселения</w:t>
            </w:r>
          </w:p>
        </w:tc>
        <w:tc>
          <w:tcPr>
            <w:tcW w:type="dxa" w:w="1417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189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805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6145,6</w:t>
            </w:r>
          </w:p>
        </w:tc>
        <w:tc>
          <w:tcPr>
            <w:tcW w:type="dxa" w:w="1189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6145,6</w:t>
            </w:r>
          </w:p>
        </w:tc>
        <w:tc>
          <w:tcPr>
            <w:tcW w:type="dxa" w:w="1805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405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type="dxa" w:w="1417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2299,1</w:t>
            </w:r>
          </w:p>
        </w:tc>
        <w:tc>
          <w:tcPr>
            <w:tcW w:type="dxa" w:w="1189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2299,1</w:t>
            </w:r>
          </w:p>
        </w:tc>
        <w:tc>
          <w:tcPr>
            <w:tcW w:type="dxa" w:w="1805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405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type="dxa" w:w="1417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2643,1</w:t>
            </w:r>
          </w:p>
        </w:tc>
        <w:tc>
          <w:tcPr>
            <w:tcW w:type="dxa" w:w="1189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2643,1</w:t>
            </w:r>
          </w:p>
        </w:tc>
        <w:tc>
          <w:tcPr>
            <w:tcW w:type="dxa" w:w="1805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7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 – 12,2 </w:t>
            </w:r>
            <w:r>
              <w:rPr>
                <w:rFonts w:ascii="Times New Roman" w:hAnsi="Times New Roman"/>
              </w:rPr>
              <w:t>тыс.м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7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1203,4</w:t>
            </w:r>
          </w:p>
        </w:tc>
        <w:tc>
          <w:tcPr>
            <w:tcW w:type="dxa" w:w="1189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1203,1</w:t>
            </w:r>
          </w:p>
        </w:tc>
        <w:tc>
          <w:tcPr>
            <w:tcW w:type="dxa" w:w="1805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2405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38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89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2"/>
            <w:tcBorders>
              <w:bottom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05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8C000000"/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7" w:type="paragraph">
    <w:name w:val="toc 2"/>
    <w:next w:val="Style_1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1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2" w:type="paragraph">
    <w:name w:val="Title"/>
    <w:basedOn w:val="Style_1"/>
    <w:link w:val="Style_2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2_ch" w:type="character">
    <w:name w:val="Title"/>
    <w:basedOn w:val="Style_1_ch"/>
    <w:link w:val="Style_2"/>
    <w:rPr>
      <w:rFonts w:ascii="Calibri" w:hAnsi="Calibri"/>
      <w:sz w:val="28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2024-04-19T10:42:42Z</dcterms:modified>
</cp:coreProperties>
</file>