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16"/>
          <w:szCs w:val="24"/>
        </w:rPr>
      </w:pPr>
      <w:r>
        <w:rPr>
          <w:rFonts w:cs="Times New Roman" w:ascii="Times New Roman" w:hAnsi="Times New Roman"/>
          <w:b/>
          <w:sz w:val="16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Style2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</w:t>
      </w:r>
    </w:p>
    <w:p>
      <w:pPr>
        <w:pStyle w:val="Style2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before="0" w:after="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 26.12.2019г №  16</w:t>
      </w:r>
      <w:r>
        <w:rPr>
          <w:rFonts w:cs="Times New Roman" w:ascii="Times New Roman" w:hAnsi="Times New Roman"/>
          <w:b w:val="false"/>
          <w:sz w:val="28"/>
          <w:szCs w:val="28"/>
        </w:rPr>
        <w:t>6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с. Троицкое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16"/>
          <w:szCs w:val="28"/>
        </w:rPr>
      </w:pPr>
      <w:r>
        <w:rPr>
          <w:rFonts w:cs="Times New Roman" w:ascii="Times New Roman" w:hAnsi="Times New Roman"/>
          <w:b/>
          <w:sz w:val="16"/>
          <w:szCs w:val="28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плана реализации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Утвердить</w:t>
      </w:r>
      <w:r>
        <w:rPr>
          <w:rFonts w:cs="Times New Roman"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«Муниципальная политика» на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 (далее – План реализации), согласно Приложению к настоящему распоряжению.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сельского поселения</w:t>
        <w:tab/>
        <w:tab/>
        <w:tab/>
        <w:tab/>
        <w:tab/>
        <w:tab/>
        <w:t>О.Н.Гурина</w:t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Троицкого сельского поселения</w:t>
      </w:r>
    </w:p>
    <w:p>
      <w:pPr>
        <w:pStyle w:val="Normal"/>
        <w:widowControl w:val="false"/>
        <w:spacing w:before="0" w:after="20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26.12.2019 г. №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16</w:t>
      </w:r>
      <w:r>
        <w:rPr>
          <w:rFonts w:cs="Times New Roman" w:ascii="Times New Roman" w:hAnsi="Times New Roman"/>
          <w:sz w:val="24"/>
          <w:szCs w:val="24"/>
        </w:rPr>
        <w:t>6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cs="Times New Roman"/>
          <w:sz w:val="12"/>
          <w:szCs w:val="28"/>
        </w:rPr>
      </w:pPr>
      <w:r>
        <w:rPr>
          <w:rFonts w:cs="Times New Roman" w:ascii="Times New Roman" w:hAnsi="Times New Roman"/>
          <w:sz w:val="12"/>
          <w:szCs w:val="28"/>
        </w:rPr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реализации муниципальной программы</w:t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Троицкого сельского поселения «Муниципальная политика»</w:t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tbl>
      <w:tblPr>
        <w:tblStyle w:val="a9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2380"/>
        <w:gridCol w:w="2391"/>
        <w:gridCol w:w="2598"/>
        <w:gridCol w:w="1707"/>
        <w:gridCol w:w="788"/>
        <w:gridCol w:w="1084"/>
        <w:gridCol w:w="1446"/>
        <w:gridCol w:w="1773"/>
      </w:tblGrid>
      <w:tr>
        <w:trPr/>
        <w:tc>
          <w:tcPr>
            <w:tcW w:w="6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тыс. руб.</w:t>
            </w:r>
          </w:p>
        </w:tc>
      </w:tr>
      <w:tr>
        <w:trPr/>
        <w:tc>
          <w:tcPr>
            <w:tcW w:w="6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2a9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9b606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 w:customStyle="1">
    <w:name w:val="Заголовок Знак"/>
    <w:basedOn w:val="DefaultParagraphFont"/>
    <w:link w:val="a3"/>
    <w:qFormat/>
    <w:locked/>
    <w:rsid w:val="009b6068"/>
    <w:rPr>
      <w:b/>
      <w:sz w:val="32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uiPriority w:val="99"/>
    <w:qFormat/>
    <w:rsid w:val="009b60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2">
    <w:name w:val="Title"/>
    <w:basedOn w:val="Normal"/>
    <w:link w:val="a4"/>
    <w:qFormat/>
    <w:rsid w:val="009b6068"/>
    <w:pPr>
      <w:spacing w:lineRule="auto" w:line="240" w:before="0" w:after="0"/>
      <w:ind w:firstLine="72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9b606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b60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LibreOffice/6.2.5.2$Windows_x86 LibreOffice_project/1ec314fa52f458adc18c4f025c545a4e8b22c159</Application>
  <Pages>5</Pages>
  <Words>520</Words>
  <Characters>3745</Characters>
  <CharactersWithSpaces>4162</CharactersWithSpaces>
  <Paragraphs>148</Paragraphs>
  <Company>Troickoe 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2018-10-30T12:16:00Z</dcterms:created>
  <dc:creator>VUS</dc:creator>
  <dc:description/>
  <dc:language>ru-RU</dc:language>
  <cp:lastModifiedBy/>
  <cp:lastPrinted>2019-12-25T15:31:34Z</cp:lastPrinted>
  <dcterms:modified xsi:type="dcterms:W3CDTF">2019-12-25T15:32:55Z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